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 w:val="28"/>
        </w:rPr>
        <w:t>Tableau des réseaux métiers bretons</w:t>
      </w:r>
    </w:p>
    <w:tbl>
      <w:tblPr>
        <w:tblW w:w="21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0"/>
        <w:gridCol w:w="425"/>
        <w:gridCol w:w="427"/>
        <w:gridCol w:w="425"/>
        <w:gridCol w:w="425"/>
        <w:gridCol w:w="1053"/>
        <w:gridCol w:w="1523"/>
        <w:gridCol w:w="1449"/>
        <w:gridCol w:w="1220"/>
        <w:gridCol w:w="3259"/>
        <w:gridCol w:w="3124"/>
        <w:gridCol w:w="1417"/>
        <w:gridCol w:w="993"/>
        <w:gridCol w:w="1701"/>
        <w:gridCol w:w="1129"/>
        <w:gridCol w:w="1134"/>
        <w:gridCol w:w="850"/>
        <w:gridCol w:w="57"/>
      </w:tblGrid>
      <w:tr>
        <w:trPr>
          <w:trHeight w:val="1134" w:hRule="atLeast"/>
          <w:cantSplit w:val="true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Terre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ZH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Eau douce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Litt.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Sigle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Structure porteuse / animatrice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Réseau d'acteurs ou de sites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Outil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Précisions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Thématique principale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Echelle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Site internet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Structuré ou 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Nbe de membres approx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B9BD5" w:themeFill="accent5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color w:val="FFFFFF"/>
                <w:sz w:val="16"/>
                <w:szCs w:val="16"/>
                <w:lang w:eastAsia="fr-FR"/>
              </w:rPr>
              <w:t>Date création</w:t>
            </w:r>
          </w:p>
        </w:tc>
      </w:tr>
      <w:tr>
        <w:trPr>
          <w:trHeight w:val="420" w:hRule="atLeast"/>
        </w:trPr>
        <w:tc>
          <w:tcPr>
            <w:tcW w:w="20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7D31" w:themeFill="accent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  <w:t>Réseaux régionaux effectifs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99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MELGLAZ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mer et littoral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Conseil régional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réf : charte des espaces côtiers / rencontres régionales annuelles, groupes de travail économie circulaire et EEDD, lettre de diffusion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favoriser l’échange d’informations, de diffuser les bonnes pratiques, de mutualiser les expériences des acteurs de la zone côtière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mer et littoral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site de la région Bretagne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09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halieuthique de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Conseil régional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partage des informations, des pratiques et des projets dans le secteur de la pêche et de l'aquaculture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pêche et aquaculture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2016 ou 2017</w:t>
            </w:r>
          </w:p>
        </w:tc>
      </w:tr>
      <w:tr>
        <w:trPr>
          <w:trHeight w:val="269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aires marines protégées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AFB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sites/territoire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tableau de bord, revue aire marine &gt; table ronde annuelle par façade initialement (désormais une table commune aux façades atlantique et manche/mer du nord)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Réseau informel d'échanges techniques entre les gestionnaires d'AMP de métropole et d'outre-mer (échanger et capitaliser les expériences entre gestionnaires de terrain) : une charte pour formaliser le forum des AMP à l'échelle nationale + 1 animation par façade avec notamment la table ronde annuelle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patrimoine naturel et pêche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Nationale / 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http://www.aires-marines.fr/Actualites/Reseau-des-aires-marines-protegees-20-et-apres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4 signataires de la charte : PNM Iroise, RNN 7 îles, RNN Baie de St-Brieuc, site Natura Glénan mais de nombreux autres sites bretons concernés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2009 national  / 2010 animation régionale</w:t>
            </w:r>
          </w:p>
        </w:tc>
      </w:tr>
      <w:tr>
        <w:trPr>
          <w:trHeight w:val="1073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OROM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Observatoire Régional des Oiseaux Marins Nicheurs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Bretagne Vivante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Observatoire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oiseaux marins nicheurs (connaissance, analyse, valorisation, aide décision)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http://www.bretagne-vivante.org/Nos-actions/Connaitre/Les-oiseaux/Les-oiseaux-marins-nicheurs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2008</w:t>
            </w:r>
          </w:p>
        </w:tc>
      </w:tr>
      <w:tr>
        <w:trPr>
          <w:trHeight w:val="2031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sites/gardes du Conservatoire du littoral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Conservatoire du littoral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&lt;-&gt;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 stage régional annuel des gardes (organisé par un bureau d'études), des réunions des maisons de sites (souvent 2), des journées d'échanges thématiques si besoins identifiés (ex : police), 1 revue "Mon littoral Bretagne" dédiée au grand public et aux partenaires mais qui permet de faire le lien entre gardes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favoriser échanges et retours d'expériences entre gardes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protection, gestion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site national : http://www.conservatoire-du-littoral.fr/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environ 80 gardes en bretagne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111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réserves associatives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Bretagne Vivante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rencontre annuelle des conservateurs, bilan annuel, appui aux conservateurs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120 sites (dont 5 RNN et 2 RNR) donc 113 réserves associatives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http://www.bretagne-vivante.org/Agir-ensemble/Nos-reserves-naturelles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?ancien</w:t>
            </w:r>
          </w:p>
        </w:tc>
      </w:tr>
      <w:tr>
        <w:trPr>
          <w:trHeight w:val="78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RNR bretonnes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Conseil régional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 rencontre annuelle le lendemain de la rencontre annuelle des RN bretonnes (RNR + RNN), des réunions si besoin particulier sur l'outil RNR, mails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page sur site RNF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non, mais existe RNF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2012</w:t>
            </w:r>
          </w:p>
        </w:tc>
      </w:tr>
      <w:tr>
        <w:trPr>
          <w:trHeight w:val="5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RNN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Etat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pas d'outils spécifiques, mails uniquement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page sur site RNF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non, mais existe RNF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ED7D31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ED7D31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Réserves Naturelles bretonnes (RNR et RNN)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Conseil régional et Etat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 xml:space="preserve"> (appui AGENB depuis 2017)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une rencontre annuelle, des journées d'échanges thématiques, des mails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page sur site RNF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non, mais existe RNF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2011</w:t>
            </w:r>
          </w:p>
        </w:tc>
      </w:tr>
      <w:tr>
        <w:trPr>
          <w:trHeight w:val="53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ED7D31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ED7D31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PNR bretons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Conseil régional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territoires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rencontres, mails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 journées d'échange par 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parcs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2011</w:t>
            </w:r>
          </w:p>
        </w:tc>
      </w:tr>
      <w:tr>
        <w:trPr>
          <w:trHeight w:val="10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ED7D31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RGENB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Réseau des gestionnaires d'espaces naturels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bretons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Association des gestionnaires d'espaces naturels bretons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forum régional annuel, journées d'échanges thématiques, journées de formation, à venir : site internet, guide méthodo, animation de groupes de travail…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gestion espaces naturels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à venir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 en cours juin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charte en cours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2017</w:t>
            </w:r>
          </w:p>
        </w:tc>
      </w:tr>
      <w:tr>
        <w:trPr>
          <w:trHeight w:val="172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ED7D31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ED7D31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Natura 2000 de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Etat et Association des chargés de mission Natura 2000 bretons (+appui AGENB depuis 2017)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Forum régional tous les 2 ans (2014 et 2016), 2 journées d'échanges par an, mails, site internet de l'ACMN2000 (avec lettres d'actu et boites à outils)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Forum 2016 organisé par Etat et ACMN2000 ; Orga des journées d'échanges déléguée à l'AGENB en 2017 ; Autres outils (site Internet de l'ACMN2000, lettres d'actu...) portés par les membres de l'ACMN2000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Natura 2000 (échanges, mutualisation…)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http://bretagne-asso.n2000.fr/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40 chargés de mission N2000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2011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Réseaux des animateurs SAGE et BV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Région Bretagne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Réunions, formations, séminaires, extranet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Eau / transversalités économie, agriculture...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extranet territoire d'eau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environ 40-50 (21 SAGE et environ 60 BV)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1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ATBVB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Association des techniciens des bassins versants bretons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ATBVB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journées techniques, groupes de travail thématiques, forum, site internet, enquête, partenariats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échange et partage d'expériences, amélioration des connaissances techniques, représentation technique, force de proposition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gestion globale eau et milieux aquatiques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http://atbvb.fr/presentation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2011</w:t>
            </w:r>
          </w:p>
        </w:tc>
      </w:tr>
      <w:tr>
        <w:trPr>
          <w:trHeight w:val="929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APPCB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Assemblée permanente des Présidents de CLE de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visites, formations, rencontres juridiques, groupes de travail, séminaires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mutualisation, échanges, expression de positions communes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eau et milieux aquatiques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http://www.appcb.fr/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2011</w:t>
            </w:r>
          </w:p>
        </w:tc>
      </w:tr>
      <w:tr>
        <w:trPr>
          <w:trHeight w:val="8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CRESEB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Centre de ressources et d'expertise scientifique sur l'eau en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CRESEB en tant que cellule d'animation du réseau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plateforme d'échange, transferts directs, espaces collaboratifs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faciliter et organiser le partage de connaissances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http://www.creseb.fr/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 GIS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2011</w:t>
            </w:r>
          </w:p>
        </w:tc>
      </w:tr>
      <w:tr>
        <w:trPr>
          <w:trHeight w:val="85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Fédération Régionale de pêche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très récemment créée (2017) donc pas encore beaucoup d'infos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2017</w:t>
            </w:r>
          </w:p>
        </w:tc>
      </w:tr>
      <w:tr>
        <w:trPr>
          <w:trHeight w:val="11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 fermes zones humides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Assemblée permanente des Chambres d'agriculture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beaucoup d'études dont guide référence technique et économique sur la gestion des zh, évaluation des services rendus par les zh, étude paiement pour services environnementaux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biodiversité pas au premier plan de ce programme / prg sur 4 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agriculture et zones humdies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http://www.chambre-agriculture-finistere.fr/synagri/2013-2017-fermes-de-reference-zones-humides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2014</w:t>
            </w:r>
          </w:p>
        </w:tc>
      </w:tr>
      <w:tr>
        <w:trPr>
          <w:trHeight w:val="115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FRCIVAM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hyperlink r:id="rId2">
              <w:r>
                <w:rPr>
                  <w:rStyle w:val="Style"/>
                  <w:rFonts w:eastAsia="Times New Roman" w:cs="Calibri Light" w:ascii="Calibri Light" w:hAnsi="Calibri Light" w:asciiTheme="majorHAnsi" w:cstheme="majorHAnsi" w:hAnsiTheme="majorHAnsi"/>
                  <w:b/>
                  <w:bCs/>
                  <w:color w:val="000000"/>
                  <w:sz w:val="16"/>
                  <w:szCs w:val="16"/>
                  <w:lang w:eastAsia="fr-FR"/>
                </w:rPr>
                <w:t xml:space="preserve">Fédération des Centres d'Initiatives pour Valoriser l'Agriculture et le Milieu rural </w:t>
              </w:r>
            </w:hyperlink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charte des CIVAM de Bretagne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Fédérer les acteurs de l'agriculture durable et solidaire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agriculture durable et solidaire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http://www.civam-bretagne.org/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21 groupes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</w:tr>
      <w:tr>
        <w:trPr>
          <w:trHeight w:val="131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agriculture et biodiversité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Fédération Régionale des Chasseurs de Bretagne (FRC)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 -&gt; de fermes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outil de diagnostic d'exploitation, Suivi Observatoire Agricole de la Biodiversité, suivis des aménagements, actions de sensibilisation des exploitants (journées Innov'actions, Terralies…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existe toujours mais peu actif / favoriser la biodiversité dans les exploitations agricoles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agriculture et biodiversité / mondes cynégétique et agricole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http://www.agriculturebiodiversite.fr/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16 fermes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2008</w:t>
            </w:r>
          </w:p>
        </w:tc>
      </w:tr>
      <w:tr>
        <w:trPr>
          <w:trHeight w:val="1381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FRC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Fédération régionale des Chasseurs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 xml:space="preserve">site web, programme régional « Agriculture et Biodiversité », veille…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assure la représentation des 4 fédé départementales, coordonne leurs actions et parfois porte des programmes régionaux pour les 4 fédé et leurs partenaires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Chasse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http://www.chasserenbretagne.fr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48 000 chasseurs et plus de 2 850 territoires de chasse adhérents aux fédé dép.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2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REEB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d'éducation à l'environnement en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 REEB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Plan régional d'actions éduquer à et dans la nature en Bretagne / tableau de bord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en cours de rédaction juin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EEDD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http://www.reeb.asso.fr/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1992</w:t>
            </w:r>
          </w:p>
        </w:tc>
      </w:tr>
      <w:tr>
        <w:trPr>
          <w:trHeight w:val="93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Bienvenue dans mon jardin en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pilote : MCE partenariat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(jardins)-&gt;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Journées de visites, fiches techniques, formations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Jardinage, zéro pesticide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http://www.bienvenuedansmonjardinbretagne.org/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à demander à la MCE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39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FPHFS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Réseau de sites de la fondation pour la protection des habitats de la faune sauvage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Fondation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 xml:space="preserve">de sites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bCs/>
                <w:sz w:val="16"/>
                <w:szCs w:val="16"/>
                <w:lang w:eastAsia="fr-FR"/>
              </w:rPr>
              <w:t>(750 ha en Bretagne) 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gestion de ces sites confiée aux fédé départementales ou associations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acquérir et de gérer des espaces naturels remarquables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http://www.chasserenbretagne.fr/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 xml:space="preserve">9 sites -&gt; 750 ha !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</w:tr>
      <w:tr>
        <w:trPr>
          <w:trHeight w:val="198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APJB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association des parcs et jardins de Bretagne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différents outils de communication comme ce site internet et la brochure "Parcs et jardins de Bretagne" éditée chaque année, rencontres, voyages, d'excusions, de conférences et de journées techniques.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protection, la restauration, l'amélioration, la sauvegarde et la mise en valeur des parcs et jardins remarquables de Bretagne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parcs et jardins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http://www.apjb.org/fr/accueil.html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1988</w:t>
            </w:r>
          </w:p>
        </w:tc>
      </w:tr>
      <w:tr>
        <w:trPr>
          <w:trHeight w:val="1559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CRPF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Centre régional de la propriété forestière Bretagne Pays de la Loire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délégation régionale du Centre National de la Propriété Forestière (CNPF), EPA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 -&gt; de sites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réunions forestières, formation à la gestion forestière, documents de gestion durable, fiches, guides techniques et environnementaux, réseau d'expérimentations et rapports d'études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extrait de l’article L321.1 du code forestier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forêt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https://bretagne-paysdelaloire.cnpf.fr/n/missions-du-crpf/n:812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411" w:hRule="atLeast"/>
        </w:trPr>
        <w:tc>
          <w:tcPr>
            <w:tcW w:w="20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7D31" w:themeFill="accent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  <w:t>Réseaux régionaux en construction / réflexion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178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bénévoles rapatrieurs/soigneurs mutualisé entre centres de sauvegarde de la faune sauvage de Bretagne et structures relais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 ?</w:t>
            </w:r>
          </w:p>
        </w:tc>
      </w:tr>
      <w:tr>
        <w:trPr>
          <w:trHeight w:val="131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expérimental de réhabilitation des zones humides bretonnes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FMA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 et de sites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expérimentations, accompagnement techn. du début à la fin, site internet, colloque, stage,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extension à la région en cours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réhabilitation zones humides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http://www.zoneshumides29.fr/reseaux2.html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13 sites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2018 ?</w:t>
            </w:r>
          </w:p>
        </w:tc>
      </w:tr>
      <w:tr>
        <w:trPr>
          <w:trHeight w:val="420" w:hRule="atLeast"/>
        </w:trPr>
        <w:tc>
          <w:tcPr>
            <w:tcW w:w="20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7D31" w:themeFill="accent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  <w:t>Réseaux départementaux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13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naturalistes costarmoricains bénévoles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Vivarmor Nature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bénévoles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annuaire, rencontres, sorties, bancarisation, atlas, lettre de liaison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connaissance biodiversité et géodiversité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 (22)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http://www.vivarmor.fr/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2001</w:t>
            </w:r>
          </w:p>
        </w:tc>
      </w:tr>
      <w:tr>
        <w:trPr>
          <w:trHeight w:val="149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d'échange technique sur les zones humides (29)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Cellule d'Animation sur les Milieux Aquatiques (CAMA) porté par CD29 et FMA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 (environ 60)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ateliers, visites chantiers, guides méthodologiques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coord : Armel Dausse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zones humides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http://www.zoneshumides29.fr/reseaux.html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2010</w:t>
            </w:r>
          </w:p>
        </w:tc>
      </w:tr>
      <w:tr>
        <w:trPr>
          <w:trHeight w:val="160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RERZH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expérimental de réhabilitation des zones humides (29)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Cellule d'Animation sur les Milieux Aquatiques (CAMA) porté par le CD29 en partenariat avec le FMA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 et de sites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expérimentations, accompagnement techn. du début à la fin, site internet, colloque, stage,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va être étendu à la Région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réhabilitation zones humides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http://www.zoneshumides29.fr/reseaux2.html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si membres = sites : 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fin 2011, 2012 ?</w:t>
            </w:r>
          </w:p>
        </w:tc>
      </w:tr>
      <w:tr>
        <w:trPr>
          <w:trHeight w:val="109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ED7D31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ED7D31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informel des techniciens gestionnaires d'espaces naturels dans le Finistère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Conseil départemental 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au moins 1 rencontre en 2017 mixte des gestionnaires ENS-sites Cdl du 29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gestion espaces naturels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Départementale, 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1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Groupe de travail sur la gestion agro-environnementale des zones humides (29)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CAMA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partages, échanges, diagnostic dépt, réflexion pr un acc. Technique ?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Réseau en devenir 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gestion agro-environnementale des zh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http://www.zoneshumides29.fr/reseaux3.html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groupe de travail pour le moment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</w:tr>
      <w:tr>
        <w:trPr>
          <w:trHeight w:val="11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FDPPMA 56 / FMPPMA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Fédération Départementale pour la Pêche et la Protection du Milieu Aquatique 56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études, PDPG, PDPL, animations, entretiens, restaurations, aménagements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protection milieux aquatiques, surveillance domaine piscicole, promotion pêche loisirs, coordination et soutien AAPPMA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pêche, pêcheurs, poissons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(56)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hyperlink r:id="rId3">
              <w:r>
                <w:rPr>
                  <w:rStyle w:val="Style"/>
                  <w:rFonts w:eastAsia="Times New Roman" w:cs="Calibri Light" w:ascii="Calibri Light" w:hAnsi="Calibri Light" w:asciiTheme="majorHAnsi" w:cstheme="majorHAnsi" w:hAnsiTheme="majorHAnsi"/>
                  <w:color w:val="0563C1"/>
                  <w:sz w:val="16"/>
                  <w:szCs w:val="16"/>
                  <w:u w:val="single"/>
                  <w:lang w:eastAsia="fr-FR"/>
                </w:rPr>
                <w:t>http://www.federationpeche.com/56/index.php</w:t>
              </w:r>
            </w:hyperlink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26 AAPPMA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à demander ?</w:t>
            </w:r>
          </w:p>
        </w:tc>
      </w:tr>
      <w:tr>
        <w:trPr>
          <w:trHeight w:val="57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FDPPMA 22 /  FDP22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Fédération Départementale pour la Pêche et la Protection du Milieu Aquatique 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maison pêche et nature  22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pêche, pêcheurs, poissons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départementale (22)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hyperlink r:id="rId4">
              <w:r>
                <w:rPr>
                  <w:rStyle w:val="Style"/>
                  <w:rFonts w:eastAsia="Times New Roman" w:cs="Calibri Light" w:ascii="Calibri Light" w:hAnsi="Calibri Light" w:asciiTheme="majorHAnsi" w:cstheme="majorHAnsi" w:hAnsiTheme="majorHAnsi"/>
                  <w:sz w:val="16"/>
                  <w:szCs w:val="16"/>
                  <w:u w:val="single"/>
                  <w:lang w:eastAsia="fr-FR"/>
                </w:rPr>
                <w:t>http://www.federation-peche22.com/</w:t>
              </w:r>
            </w:hyperlink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33 AAPPMA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</w:tr>
      <w:tr>
        <w:trPr>
          <w:trHeight w:val="57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FDPPMA 35 / FDP35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Fédération Départementale pour la Pêche et la Protection du Milieu Aquatique 35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site internet, animations pêche, ateliers pêche nature,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pêche, pêcheurs, poissons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http://www.federationpeche.com/35/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1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FDPPMA 29 / FDP29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Fédération Départementale pour la Pêche et la Protection du Milieu Aquatique 29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site internet, concours, revue, études, différents support de com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communiquer, sensibiliser, lutter contre pollution et destruction, faire des travaux, faire appliquer la réglementation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pêche, pêcheurs, poissons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https://www.peche-en-finistere.fr/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25 AAPPMA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</w:tr>
      <w:tr>
        <w:trPr>
          <w:trHeight w:val="128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Réseau des techniciens rivières 29 / acteurs de l'entretien des cours d'eau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CAMA -&gt; mission confiée à la Fédé pêche 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veille informations juridiques et techniques,  coordination demandes financières, rencontres techniques, publications d'ouvrages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suivi technique et administratif des travaux des AAPPMA, la coordination départementale des programmes annuels, l'assistance technique aux maîtres d'ouvrage du département, formation/information autour des milieux aquatiques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cours d'eau et milieux aquatiques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sur le site de la Fédé pêche 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42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Réseau des partenaires EEDD 29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CD29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échanges sur les actions des associations EE en partenariat avec le CD dans le cadre de conventions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environnement, biodiversité, milieux aquatiques, développement durable...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années 2000</w:t>
            </w:r>
          </w:p>
        </w:tc>
      </w:tr>
      <w:tr>
        <w:trPr>
          <w:trHeight w:val="57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Réseau Landes 29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informel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échanges techniques sur la connaissance et les pratiques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landes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ED7D31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ED7D31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informel des techniciens gestionnaires d'espaces naturels dans le Morbihan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Conseil départemental 56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axe stratégique 3 du SDENS + démarche réseau large landes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gestion espaces naturels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Départementale, 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8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des maisons nature des Côtes d'Armor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 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maisons nature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animations scolaires, séjours, expo, outils péda, documents péda, conférences, rencontres, formation, randonnées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label du département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Education à la nature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8 maisons nature labellisées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1997</w:t>
            </w:r>
          </w:p>
        </w:tc>
      </w:tr>
      <w:tr>
        <w:trPr>
          <w:trHeight w:val="1417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Les Côtes d’Armor sont belles, jardinons au naturel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Département, les structures Bassins Versants et les Pays Touristiques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adhésion gratuite à l’une des formules, plaquette, courriers, visites et rencontres tech-</w:t>
              <w:br/>
              <w:t>niques, aide dans la mise en place d’ani-</w:t>
              <w:br/>
              <w:t xml:space="preserve">mations autour du jardinage au naturel </w:t>
              <w:br/>
              <w:t>pour les particuliers.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transformation du concours de fleurissement des communes vers un accompagnement des communes, pour les aider à renforcer le lien social et à développer le jardinage au naturel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paysages, végétal, fleurissement, zéro pesticide, cadre de vie, jardinage au naturel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?</w:t>
            </w:r>
          </w:p>
        </w:tc>
      </w:tr>
      <w:tr>
        <w:trPr>
          <w:trHeight w:val="1711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Fédération départementale des chasseurs des Côtes d'Armor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Activités des FDC sont encadrées par l’article L421-5 du CE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chasse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http://www.chasserenbretagne.fr/fdc22/votre-federation/presentation/les-missions.html#.WvyQK6LV53s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10 700 adhérents chasseurs, 703 adhérents territoriaux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1923 !</w:t>
            </w:r>
          </w:p>
        </w:tc>
      </w:tr>
      <w:tr>
        <w:trPr>
          <w:trHeight w:val="115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Fédération départementale des chasseurs du Finistère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Activités des FDC sont encadrées par l’article L421-5 du CE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chasse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http://www.chasserenbretagne.fr/fdc29/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11 000 chasseurs et 700 sociétés de chasse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</w:tr>
      <w:tr>
        <w:trPr>
          <w:trHeight w:val="9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Fédération départementale des chasseurs d'Ile et Vilaine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Activités des FDC sont encadrées par l’article L421-5 du CE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chasse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http://www.chasserenbretagne.fr/fdc35/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13 180 chasseurs, 218 ACCA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</w:tr>
      <w:tr>
        <w:trPr>
          <w:trHeight w:val="85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sz w:val="16"/>
                <w:szCs w:val="16"/>
                <w:lang w:eastAsia="fr-FR"/>
              </w:rPr>
              <w:t>Fédération départementale des chasseurs du Morbihan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Activités des FDC sont encadrées par l’article L421-5 du CE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vertAlign w:val="superscript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chasse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Départementale (56)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http://www.chasserenbretagne.fr/fdc56/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12 300 chasseurs et les 770 associations ou territoires de chasse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sz w:val="16"/>
                <w:szCs w:val="16"/>
                <w:lang w:eastAsia="fr-FR"/>
              </w:rPr>
            </w:r>
          </w:p>
        </w:tc>
      </w:tr>
      <w:tr>
        <w:trPr>
          <w:trHeight w:val="420" w:hRule="atLeast"/>
        </w:trPr>
        <w:tc>
          <w:tcPr>
            <w:tcW w:w="20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7D31" w:themeFill="accent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FFFFFF"/>
                <w:sz w:val="16"/>
                <w:szCs w:val="16"/>
                <w:lang w:eastAsia="fr-FR"/>
              </w:rPr>
              <w:t>Réseaux nationaux impliquant des sites ou acteurs bretons car pas de déclinaison régionale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2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Biodivea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 / appel à projet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 (lycées)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projets globaux d’expérimentation et de démonstration, mobilisant les équipes pédagogiques des différentes filières (agricole, environnementale, paysage, forêt…) et impliquant des parte-naires locaux.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mobiliser l'enseignement agricole sur la biodiversité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agriculture et biodiversité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http://www.adt.educagri.fr/fileadmin/user_upload/pdf/Actions/BiodivEA/BiodivEA.pdf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3 en Bretagne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2010</w:t>
            </w:r>
          </w:p>
        </w:tc>
      </w:tr>
      <w:tr>
        <w:trPr>
          <w:trHeight w:val="1728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DEPHY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de fermes démonstration, expérimentation, production de références sur les systèmes de culture économes en phytosanitaires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Plan national écophyto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sites -&gt; 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production de références, journées de démonstration, formation, information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agriculture produits phytosanitaires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12 réseaux de fermes en Bretagne soit près de 130 exploitations / 9 projets expérimentaux / 8 stations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2008</w:t>
            </w:r>
          </w:p>
        </w:tc>
      </w:tr>
      <w:tr>
        <w:trPr>
          <w:trHeight w:val="8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Français des Centres de Sauvegarde de la Faune Sauvage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Union Française des Centres de Sauvegarde de la Faune Sauvage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de lieux/d'acteurs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lieux d'accueil et de soins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Océanopolis et ile Grande (LPO)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secours et soins faune sauvage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Nationale / 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hyperlink r:id="rId5">
              <w:r>
                <w:rPr>
                  <w:rStyle w:val="Style"/>
                  <w:rFonts w:eastAsia="Times New Roman" w:cs="Calibri Light" w:ascii="Calibri Light" w:hAnsi="Calibri Light" w:asciiTheme="majorHAnsi" w:cstheme="majorHAnsi" w:hAnsiTheme="majorHAnsi"/>
                  <w:color w:val="0563C1"/>
                  <w:sz w:val="16"/>
                  <w:szCs w:val="16"/>
                  <w:u w:val="single"/>
                  <w:lang w:eastAsia="fr-FR"/>
                </w:rPr>
                <w:t>http://www.ufcs.fr/spip.php?rubrique11</w:t>
              </w:r>
            </w:hyperlink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2 en Bretagne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</w:tr>
      <w:tr>
        <w:trPr>
          <w:trHeight w:val="69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548235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548235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548235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548235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548235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548235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Réseau national de structures de gestion d’espaces naturels littoraux et lacustres préservés (en majorité des sites du Cdl)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Rivages de France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 rencontre régionale en Bretagne en 2017 (cible = élus) et techniciens invités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3 axes : représenter les structures gestionnaires au sein de différentes instances ; fournir des services (veille juridique, rencontres, formations...) ; communiquer (newsletters, recueils d'expérience…)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protection, gestion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Nationale / Régionale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http://www.rivagesdefrance.org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env. 30 structures adhérentes en Bretagne (160 structures gestionnaires adhérentes en France)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1990</w:t>
            </w:r>
          </w:p>
        </w:tc>
      </w:tr>
      <w:tr>
        <w:trPr>
          <w:trHeight w:val="115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548235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548235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548235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548235"/>
                <w:sz w:val="16"/>
                <w:szCs w:val="16"/>
                <w:lang w:eastAsia="fr-F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548235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color w:val="548235"/>
                <w:sz w:val="16"/>
                <w:szCs w:val="16"/>
                <w:lang w:eastAsia="fr-FR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sz w:val="16"/>
                <w:szCs w:val="16"/>
                <w:lang w:eastAsia="fr-FR"/>
              </w:rPr>
              <w:t>Mouvement Colibris faire sa part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association/collectifs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d'acteurs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hyperlink r:id="rId6">
              <w:r>
                <w:rPr>
                  <w:rStyle w:val="Style"/>
                  <w:rFonts w:eastAsia="Times New Roman" w:cs="Calibri Light" w:ascii="Calibri Light" w:hAnsi="Calibri Light" w:asciiTheme="majorHAnsi" w:cstheme="majorHAnsi" w:hAnsiTheme="majorHAnsi"/>
                  <w:color w:val="0563C1"/>
                  <w:sz w:val="16"/>
                  <w:szCs w:val="16"/>
                  <w:u w:val="single"/>
                  <w:lang w:eastAsia="fr-FR"/>
                </w:rPr>
                <w:t>https://www.colibris-lemouvement.org/</w:t>
              </w:r>
            </w:hyperlink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agriculture, culture, démocratie, écologie, habitat, économie, éducation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Nationale avec des groupes locaux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https://www.colibris-lemouvement.org/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FF0000"/>
                <w:sz w:val="16"/>
                <w:szCs w:val="16"/>
                <w:lang w:eastAsia="fr-F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7"/>
      <w:footerReference w:type="default" r:id="rId8"/>
      <w:type w:val="nextPage"/>
      <w:pgSz w:w="23811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Document de travail -Préfiguration Agence Bretonne de la Biodiversité- 2018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4176322" o:spid="shape_0" fillcolor="silver" stroked="f" style="position:absolute;margin-left:76.75pt;margin-top:314.05pt;width:964.95pt;height:117.2pt;rotation:315;mso-position-horizontal:center;mso-position-vertical:center;mso-position-vertical-relative:margin" type="shapetype_136">
          <v:path textpathok="t"/>
          <v:textpath on="t" fitshape="t" string="Doucment de travail" trim="t" style="font-family:&quot;Calibri&quot;;font-size:1pt"/>
          <w10:wrap type="none"/>
          <v:fill o:detectmouseclick="t" type="solid" color2="#3f3f3f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275d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f275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275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275d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275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275d"/>
    <w:pPr>
      <w:keepNext w:val="true"/>
      <w:keepLines/>
      <w:spacing w:lineRule="auto" w:line="240" w:before="40" w:after="0"/>
      <w:jc w:val="both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275d"/>
    <w:pPr>
      <w:keepNext w:val="true"/>
      <w:keepLines/>
      <w:spacing w:lineRule="auto" w:line="240" w:before="40" w:after="0"/>
      <w:jc w:val="both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275d"/>
    <w:pPr>
      <w:keepNext w:val="true"/>
      <w:keepLines/>
      <w:spacing w:lineRule="auto" w:line="240" w:before="40" w:after="0"/>
      <w:jc w:val="both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275d"/>
    <w:pPr>
      <w:keepNext w:val="true"/>
      <w:keepLines/>
      <w:spacing w:lineRule="auto" w:line="240" w:before="40" w:after="0"/>
      <w:jc w:val="both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275d"/>
    <w:pPr>
      <w:keepNext w:val="true"/>
      <w:keepLines/>
      <w:spacing w:lineRule="auto" w:line="240" w:before="40" w:after="0"/>
      <w:jc w:val="both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f275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0f275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0f275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0f275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2"/>
      <w:szCs w:val="22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0f275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2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0f275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2"/>
      <w:szCs w:val="22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0f275d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2"/>
      <w:szCs w:val="22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0f275d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0f275d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enInternet">
    <w:name w:val="Lien Internet"/>
    <w:basedOn w:val="DefaultParagraphFont"/>
    <w:uiPriority w:val="99"/>
    <w:unhideWhenUsed/>
    <w:rsid w:val="000f275d"/>
    <w:rPr>
      <w:color w:val="0000FF"/>
      <w:u w:val="single"/>
    </w:rPr>
  </w:style>
  <w:style w:type="character" w:styleId="TitreCar" w:customStyle="1">
    <w:name w:val="Titre Car"/>
    <w:basedOn w:val="DefaultParagraphFont"/>
    <w:link w:val="Titre"/>
    <w:uiPriority w:val="10"/>
    <w:qFormat/>
    <w:rsid w:val="000f275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0f275d"/>
    <w:rPr>
      <w:rFonts w:eastAsia="" w:eastAsiaTheme="minorEastAsia"/>
      <w:sz w:val="22"/>
      <w:szCs w:val="22"/>
      <w:lang w:eastAsia="fr-FR"/>
    </w:rPr>
  </w:style>
  <w:style w:type="character" w:styleId="Accentuation">
    <w:name w:val="Accentuation"/>
    <w:basedOn w:val="DefaultParagraphFont"/>
    <w:uiPriority w:val="20"/>
    <w:qFormat/>
    <w:rsid w:val="000f275d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0f275d"/>
    <w:rPr/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0f275d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0f27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f275d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0f275d"/>
    <w:rPr>
      <w:sz w:val="22"/>
      <w:szCs w:val="22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f275d"/>
    <w:rPr>
      <w:sz w:val="22"/>
      <w:szCs w:val="22"/>
    </w:rPr>
  </w:style>
  <w:style w:type="character" w:styleId="St" w:customStyle="1">
    <w:name w:val="st"/>
    <w:basedOn w:val="DefaultParagraphFont"/>
    <w:qFormat/>
    <w:rsid w:val="000f275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275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f275d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f275d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f27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f275d"/>
    <w:rPr>
      <w:color w:val="954F72" w:themeColor="followedHyperlink"/>
      <w:u w:val="single"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0f275d"/>
    <w:rPr>
      <w:rFonts w:ascii="Calibri" w:hAnsi="Calibri" w:eastAsia="Calibri" w:cs="Times New Roman"/>
      <w:color w:val="000000" w:themeColor="text1"/>
      <w:sz w:val="20"/>
      <w:szCs w:val="20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0f275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0f275d"/>
    <w:rPr/>
  </w:style>
  <w:style w:type="character" w:styleId="Textedelespacerserv" w:customStyle="1">
    <w:name w:val="Texte de l’espace réservé"/>
    <w:basedOn w:val="DefaultParagraphFont"/>
    <w:uiPriority w:val="99"/>
    <w:semiHidden/>
    <w:qFormat/>
    <w:rsid w:val="000f275d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0f275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99"/>
    <w:qFormat/>
    <w:rsid w:val="000f275d"/>
    <w:pPr>
      <w:spacing w:before="0" w:after="160"/>
      <w:ind w:left="720" w:hanging="0"/>
      <w:contextualSpacing/>
    </w:pPr>
    <w:rPr/>
  </w:style>
  <w:style w:type="paragraph" w:styleId="NoSpacing">
    <w:name w:val="No Spacing"/>
    <w:link w:val="SansinterligneCar"/>
    <w:uiPriority w:val="1"/>
    <w:qFormat/>
    <w:rsid w:val="000f275d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fr-FR" w:val="fr-FR" w:bidi="ar-SA"/>
    </w:rPr>
  </w:style>
  <w:style w:type="paragraph" w:styleId="Standard" w:customStyle="1">
    <w:name w:val="Standard"/>
    <w:qFormat/>
    <w:rsid w:val="000f275d"/>
    <w:pPr>
      <w:widowControl/>
      <w:suppressAutoHyphens w:val="true"/>
      <w:bidi w:val="0"/>
      <w:spacing w:before="0" w:after="0"/>
      <w:jc w:val="left"/>
    </w:pPr>
    <w:rPr>
      <w:rFonts w:ascii="Georgia" w:hAnsi="Georgia" w:eastAsia="SimSun" w:cs="Mangal"/>
      <w:color w:val="auto"/>
      <w:kern w:val="0"/>
      <w:sz w:val="21"/>
      <w:szCs w:val="24"/>
      <w:lang w:eastAsia="zh-CN" w:bidi="hi-IN" w:val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0f275d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0f275d"/>
    <w:pPr>
      <w:spacing w:before="0" w:after="100"/>
      <w:ind w:left="220" w:hanging="0"/>
    </w:pPr>
    <w:rPr/>
  </w:style>
  <w:style w:type="paragraph" w:styleId="Notedebasdepage">
    <w:name w:val="Footnote Text"/>
    <w:basedOn w:val="Normal"/>
    <w:link w:val="NotedebasdepageCar"/>
    <w:uiPriority w:val="99"/>
    <w:unhideWhenUsed/>
    <w:rsid w:val="000f275d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f275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f275d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Default" w:customStyle="1">
    <w:name w:val="Default"/>
    <w:qFormat/>
    <w:rsid w:val="000f275d"/>
    <w:pPr>
      <w:widowControl/>
      <w:bidi w:val="0"/>
      <w:spacing w:before="0" w:after="0"/>
      <w:jc w:val="left"/>
    </w:pPr>
    <w:rPr>
      <w:rFonts w:ascii="Garamond" w:hAnsi="Garamond" w:cs="Garamond" w:eastAsia="Calibri"/>
      <w:color w:val="000000"/>
      <w:kern w:val="0"/>
      <w:sz w:val="22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0f27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f27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0f275d"/>
    <w:pPr>
      <w:widowControl w:val="false"/>
      <w:suppressLineNumbers/>
      <w:suppressAutoHyphens w:val="true"/>
    </w:pPr>
    <w:rPr>
      <w:rFonts w:ascii="Georgia" w:hAnsi="Georgia" w:eastAsia="SimSun" w:cs="Mangal"/>
      <w:sz w:val="20"/>
      <w:szCs w:val="24"/>
      <w:lang w:eastAsia="zh-CN" w:bidi="hi-IN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f275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f275d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f27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desmatiresniveau3">
    <w:name w:val="TOC 3"/>
    <w:basedOn w:val="Normal"/>
    <w:next w:val="Normal"/>
    <w:autoRedefine/>
    <w:uiPriority w:val="39"/>
    <w:unhideWhenUsed/>
    <w:rsid w:val="000f275d"/>
    <w:pPr>
      <w:spacing w:before="0" w:after="100"/>
      <w:ind w:left="440" w:hanging="0"/>
    </w:pPr>
    <w:rPr>
      <w:lang w:eastAsia="fr-FR"/>
    </w:rPr>
  </w:style>
  <w:style w:type="paragraph" w:styleId="Tabledesmatiresniveau4">
    <w:name w:val="TOC 4"/>
    <w:basedOn w:val="Normal"/>
    <w:next w:val="Normal"/>
    <w:autoRedefine/>
    <w:uiPriority w:val="39"/>
    <w:unhideWhenUsed/>
    <w:rsid w:val="000f275d"/>
    <w:pPr>
      <w:spacing w:before="0" w:after="100"/>
      <w:ind w:left="660" w:hanging="0"/>
    </w:pPr>
    <w:rPr>
      <w:lang w:eastAsia="fr-FR"/>
    </w:rPr>
  </w:style>
  <w:style w:type="paragraph" w:styleId="Tabledesmatiresniveau5">
    <w:name w:val="TOC 5"/>
    <w:basedOn w:val="Normal"/>
    <w:next w:val="Normal"/>
    <w:autoRedefine/>
    <w:uiPriority w:val="39"/>
    <w:unhideWhenUsed/>
    <w:rsid w:val="000f275d"/>
    <w:pPr>
      <w:spacing w:before="0" w:after="100"/>
      <w:ind w:left="880" w:hanging="0"/>
    </w:pPr>
    <w:rPr>
      <w:lang w:eastAsia="fr-FR"/>
    </w:rPr>
  </w:style>
  <w:style w:type="paragraph" w:styleId="Tabledesmatiresniveau6">
    <w:name w:val="TOC 6"/>
    <w:basedOn w:val="Normal"/>
    <w:next w:val="Normal"/>
    <w:autoRedefine/>
    <w:uiPriority w:val="39"/>
    <w:unhideWhenUsed/>
    <w:rsid w:val="000f275d"/>
    <w:pPr>
      <w:spacing w:before="0" w:after="100"/>
      <w:ind w:left="1100" w:hanging="0"/>
    </w:pPr>
    <w:rPr>
      <w:lang w:eastAsia="fr-FR"/>
    </w:rPr>
  </w:style>
  <w:style w:type="paragraph" w:styleId="Tabledesmatiresniveau7">
    <w:name w:val="TOC 7"/>
    <w:basedOn w:val="Normal"/>
    <w:next w:val="Normal"/>
    <w:autoRedefine/>
    <w:uiPriority w:val="39"/>
    <w:unhideWhenUsed/>
    <w:rsid w:val="000f275d"/>
    <w:pPr>
      <w:spacing w:before="0" w:after="100"/>
      <w:ind w:left="1320" w:hanging="0"/>
    </w:pPr>
    <w:rPr>
      <w:lang w:eastAsia="fr-FR"/>
    </w:rPr>
  </w:style>
  <w:style w:type="paragraph" w:styleId="Tabledesmatiresniveau8">
    <w:name w:val="TOC 8"/>
    <w:basedOn w:val="Normal"/>
    <w:next w:val="Normal"/>
    <w:autoRedefine/>
    <w:uiPriority w:val="39"/>
    <w:unhideWhenUsed/>
    <w:rsid w:val="000f275d"/>
    <w:pPr>
      <w:spacing w:before="0" w:after="100"/>
      <w:ind w:left="1540" w:hanging="0"/>
    </w:pPr>
    <w:rPr>
      <w:lang w:eastAsia="fr-FR"/>
    </w:rPr>
  </w:style>
  <w:style w:type="paragraph" w:styleId="Tabledesmatiresniveau9">
    <w:name w:val="TOC 9"/>
    <w:basedOn w:val="Normal"/>
    <w:next w:val="Normal"/>
    <w:autoRedefine/>
    <w:uiPriority w:val="39"/>
    <w:unhideWhenUsed/>
    <w:rsid w:val="000f275d"/>
    <w:pPr>
      <w:spacing w:before="0" w:after="100"/>
      <w:ind w:left="1760" w:hanging="0"/>
    </w:pPr>
    <w:rPr>
      <w:lang w:eastAsia="fr-FR"/>
    </w:rPr>
  </w:style>
  <w:style w:type="paragraph" w:styleId="Yiv4197312829msonormal" w:customStyle="1">
    <w:name w:val="yiv4197312829msonormal"/>
    <w:basedOn w:val="Normal"/>
    <w:qFormat/>
    <w:rsid w:val="000f27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TENCorpsdudocument" w:customStyle="1">
    <w:name w:val="ATEN Corps du document"/>
    <w:basedOn w:val="Normal"/>
    <w:qFormat/>
    <w:rsid w:val="000f275d"/>
    <w:pPr>
      <w:suppressAutoHyphens w:val="true"/>
      <w:spacing w:lineRule="auto" w:line="360" w:before="0" w:after="200"/>
    </w:pPr>
    <w:rPr>
      <w:rFonts w:ascii="Arial" w:hAnsi="Arial" w:eastAsia="Times New Roman" w:cs="Arial"/>
      <w:color w:val="00000A"/>
      <w:sz w:val="20"/>
      <w:szCs w:val="20"/>
      <w:lang w:eastAsia="zh-CN"/>
    </w:rPr>
  </w:style>
  <w:style w:type="paragraph" w:styleId="Revision">
    <w:name w:val="Revision"/>
    <w:uiPriority w:val="99"/>
    <w:semiHidden/>
    <w:qFormat/>
    <w:rsid w:val="000f275d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extbody" w:customStyle="1">
    <w:name w:val="Text body"/>
    <w:basedOn w:val="Normal"/>
    <w:qFormat/>
    <w:rsid w:val="000f275d"/>
    <w:pPr>
      <w:suppressAutoHyphens w:val="true"/>
      <w:spacing w:lineRule="auto" w:line="288" w:before="0" w:after="120"/>
      <w:jc w:val="both"/>
      <w:textAlignment w:val="baseline"/>
    </w:pPr>
    <w:rPr>
      <w:rFonts w:ascii="Georgia" w:hAnsi="Georgia" w:eastAsia="Times New Roman" w:cs="Georgia"/>
      <w:kern w:val="2"/>
      <w:sz w:val="20"/>
      <w:szCs w:val="18"/>
      <w:lang w:eastAsia="zh-CN"/>
    </w:rPr>
  </w:style>
  <w:style w:type="paragraph" w:styleId="TOCHeading">
    <w:name w:val="TOC Heading"/>
    <w:basedOn w:val="Titre1"/>
    <w:next w:val="Normal"/>
    <w:uiPriority w:val="39"/>
    <w:unhideWhenUsed/>
    <w:qFormat/>
    <w:rsid w:val="000f275d"/>
    <w:pPr/>
    <w:rPr/>
  </w:style>
  <w:style w:type="paragraph" w:styleId="Notedefin">
    <w:name w:val="Endnote Text"/>
    <w:basedOn w:val="Normal"/>
    <w:link w:val="NotedefinCar"/>
    <w:uiPriority w:val="99"/>
    <w:semiHidden/>
    <w:unhideWhenUsed/>
    <w:rsid w:val="000f275d"/>
    <w:pPr>
      <w:spacing w:lineRule="auto" w:line="240" w:before="0" w:after="0"/>
      <w:jc w:val="both"/>
    </w:pPr>
    <w:rPr>
      <w:rFonts w:ascii="Calibri" w:hAnsi="Calibri" w:eastAsia="Calibri" w:cs="Times New Roman"/>
      <w:color w:val="000000" w:themeColor="text1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f275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7Couleur-Accentuation5">
    <w:name w:val="Grid Table 7 Colorful Accent 5"/>
    <w:basedOn w:val="TableauNormal"/>
    <w:uiPriority w:val="52"/>
    <w:rsid w:val="000f275d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sz="4" w:space="0"/>
        </w:tcBorders>
      </w:tcPr>
    </w:tblStylePr>
    <w:tblStylePr w:type="nwCell">
      <w:tblPr/>
      <w:tcPr>
        <w:tcBorders>
          <w:bottom w:val="single" w:color="9CC2E5" w:themeColor="accent5" w:sz="4" w:space="0"/>
        </w:tcBorders>
      </w:tcPr>
    </w:tblStylePr>
    <w:tblStylePr w:type="seCell">
      <w:tblPr/>
      <w:tcPr>
        <w:tcBorders>
          <w:top w:val="single" w:color="9CC2E5" w:themeColor="accent5" w:sz="4" w:space="0"/>
        </w:tcBorders>
      </w:tcPr>
    </w:tblStylePr>
    <w:tblStylePr w:type="swCell">
      <w:tblPr/>
      <w:tcPr>
        <w:tcBorders>
          <w:top w:val="single" w:color="9CC2E5" w:themeColor="accent5" w:sz="4" w:space="0"/>
        </w:tcBorders>
      </w:tcPr>
    </w:tblStylePr>
  </w:style>
  <w:style w:type="table" w:styleId="TableauListe2-Accentuation5">
    <w:name w:val="List Table 2 Accent 5"/>
    <w:basedOn w:val="TableauNormal"/>
    <w:uiPriority w:val="47"/>
    <w:rsid w:val="000f275d"/>
    <w:rPr>
      <w:sz w:val="22"/>
      <w:szCs w:val="22"/>
    </w:r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7Couleur-Accentuation1">
    <w:name w:val="Grid Table 7 Colorful Accent 1"/>
    <w:basedOn w:val="TableauNormal"/>
    <w:uiPriority w:val="52"/>
    <w:rsid w:val="000f275d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sz="4" w:space="0"/>
        </w:tcBorders>
      </w:tcPr>
    </w:tblStylePr>
    <w:tblStylePr w:type="nwCell">
      <w:tblPr/>
      <w:tcPr>
        <w:tcBorders>
          <w:bottom w:val="single" w:color="8EAADB" w:themeColor="accent1" w:sz="4" w:space="0"/>
        </w:tcBorders>
      </w:tcPr>
    </w:tblStylePr>
    <w:tblStylePr w:type="seCell">
      <w:tblPr/>
      <w:tcPr>
        <w:tcBorders>
          <w:top w:val="single" w:color="8EAADB" w:themeColor="accent1" w:sz="4" w:space="0"/>
        </w:tcBorders>
      </w:tcPr>
    </w:tblStylePr>
    <w:tblStylePr w:type="swCell">
      <w:tblPr/>
      <w:tcPr>
        <w:tcBorders>
          <w:top w:val="single" w:color="8EAADB" w:themeColor="accent1" w:sz="4" w:space="0"/>
        </w:tcBorders>
      </w:tcPr>
    </w:tblStylePr>
  </w:style>
  <w:style w:type="table" w:styleId="TableauGrille4-Accentuation5">
    <w:name w:val="Grid Table 4 Accent 5"/>
    <w:basedOn w:val="TableauNormal"/>
    <w:uiPriority w:val="49"/>
    <w:rsid w:val="000f275d"/>
    <w:rPr>
      <w:sz w:val="22"/>
      <w:szCs w:val="22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3-Accentuation5">
    <w:name w:val="Grid Table 3 Accent 5"/>
    <w:basedOn w:val="TableauNormal"/>
    <w:uiPriority w:val="48"/>
    <w:rsid w:val="000f275d"/>
    <w:rPr>
      <w:sz w:val="22"/>
      <w:szCs w:val="22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sz="4" w:space="0"/>
        </w:tcBorders>
      </w:tcPr>
    </w:tblStylePr>
    <w:tblStylePr w:type="nwCell">
      <w:tblPr/>
      <w:tcPr>
        <w:tcBorders>
          <w:bottom w:val="single" w:color="9CC2E5" w:themeColor="accent5" w:sz="4" w:space="0"/>
        </w:tcBorders>
      </w:tcPr>
    </w:tblStylePr>
    <w:tblStylePr w:type="seCell">
      <w:tblPr/>
      <w:tcPr>
        <w:tcBorders>
          <w:top w:val="single" w:color="9CC2E5" w:themeColor="accent5" w:sz="4" w:space="0"/>
        </w:tcBorders>
      </w:tcPr>
    </w:tblStylePr>
    <w:tblStylePr w:type="swCell">
      <w:tblPr/>
      <w:tcPr>
        <w:tcBorders>
          <w:top w:val="single" w:color="9CC2E5" w:themeColor="accent5" w:sz="4" w:space="0"/>
        </w:tcBorders>
      </w:tcPr>
    </w:tblStylePr>
  </w:style>
  <w:style w:type="table" w:styleId="TableauGrille2-Accentuation5">
    <w:name w:val="Grid Table 2 Accent 5"/>
    <w:basedOn w:val="TableauNormal"/>
    <w:uiPriority w:val="47"/>
    <w:rsid w:val="000f275d"/>
    <w:rPr>
      <w:sz w:val="22"/>
      <w:szCs w:val="22"/>
    </w:r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0f275d"/>
    <w:rPr>
      <w:sz w:val="22"/>
      <w:szCs w:val="22"/>
    </w:r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auListe3-Accentuation5">
    <w:name w:val="List Table 3 Accent 5"/>
    <w:basedOn w:val="TableauNormal"/>
    <w:uiPriority w:val="48"/>
    <w:rsid w:val="000f275d"/>
    <w:rPr>
      <w:sz w:val="22"/>
      <w:szCs w:val="22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TableauListe4-Accentuation1">
    <w:name w:val="List Table 4 Accent 1"/>
    <w:basedOn w:val="TableauNormal"/>
    <w:uiPriority w:val="49"/>
    <w:rsid w:val="000f275d"/>
    <w:rPr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0f275d"/>
    <w:rPr>
      <w:sz w:val="22"/>
      <w:szCs w:val="22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TableauListe4-Accentuation5">
    <w:name w:val="List Table 4 Accent 5"/>
    <w:basedOn w:val="TableauNormal"/>
    <w:uiPriority w:val="49"/>
    <w:rsid w:val="000f275d"/>
    <w:rPr>
      <w:sz w:val="22"/>
      <w:szCs w:val="22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lledutableau1">
    <w:name w:val="Grille du tableau1"/>
    <w:basedOn w:val="TableauNormal"/>
    <w:uiPriority w:val="39"/>
    <w:rsid w:val="000f275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auGrille3-Accentuation31">
    <w:name w:val="Tableau Grille 3 - Accentuation 31"/>
    <w:basedOn w:val="TableauNormal"/>
    <w:uiPriority w:val="48"/>
    <w:rsid w:val="000f275d"/>
    <w:rPr>
      <w:sz w:val="22"/>
      <w:szCs w:val="22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color="C9C9C9" w:sz="4" w:space="0"/>
        </w:tcBorders>
      </w:tcPr>
    </w:tblStylePr>
    <w:tblStylePr w:type="nwCell">
      <w:tblPr/>
      <w:tcPr>
        <w:tcBorders>
          <w:bottom w:val="single" w:color="C9C9C9" w:sz="4" w:space="0"/>
        </w:tcBorders>
      </w:tcPr>
    </w:tblStylePr>
    <w:tblStylePr w:type="seCell">
      <w:tblPr/>
      <w:tcPr>
        <w:tcBorders>
          <w:top w:val="single" w:color="C9C9C9" w:sz="4" w:space="0"/>
        </w:tcBorders>
      </w:tcPr>
    </w:tblStylePr>
    <w:tblStylePr w:type="swCell">
      <w:tblPr/>
      <w:tcPr>
        <w:tcBorders>
          <w:top w:val="single" w:color="C9C9C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275d"/>
    <w:rPr>
      <w:sz w:val="22"/>
      <w:szCs w:val="22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vam.org/" TargetMode="External"/><Relationship Id="rId3" Type="http://schemas.openxmlformats.org/officeDocument/2006/relationships/hyperlink" Target="http://www.federationpeche.com/56/index.php" TargetMode="External"/><Relationship Id="rId4" Type="http://schemas.openxmlformats.org/officeDocument/2006/relationships/hyperlink" Target="http://www.federation-peche22.com/" TargetMode="External"/><Relationship Id="rId5" Type="http://schemas.openxmlformats.org/officeDocument/2006/relationships/hyperlink" Target="http://www.ufcs.fr/spip.php?rubrique11" TargetMode="External"/><Relationship Id="rId6" Type="http://schemas.openxmlformats.org/officeDocument/2006/relationships/hyperlink" Target="https://www.colibris-lemouvement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E0C1A88590F4DBF8A5E9343C60C77" ma:contentTypeVersion="11" ma:contentTypeDescription="Crée un document." ma:contentTypeScope="" ma:versionID="0196a73d7495921a63d39d0e21580f43">
  <xsd:schema xmlns:xsd="http://www.w3.org/2001/XMLSchema" xmlns:xs="http://www.w3.org/2001/XMLSchema" xmlns:p="http://schemas.microsoft.com/office/2006/metadata/properties" xmlns:ns2="5fdee459-b234-4efb-91ff-bf274d36d4ff" xmlns:ns3="4429343c-e868-4873-967f-9aeba40d275c" targetNamespace="http://schemas.microsoft.com/office/2006/metadata/properties" ma:root="true" ma:fieldsID="2cd8934baf21d50943192a6d6cb886f3" ns2:_="" ns3:_="">
    <xsd:import namespace="5fdee459-b234-4efb-91ff-bf274d36d4ff"/>
    <xsd:import namespace="4429343c-e868-4873-967f-9aeba40d2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459-b234-4efb-91ff-bf274d36d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343c-e868-4873-967f-9aeba40d2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F2BB4-87C8-4E5A-82D0-6D2387C025C3}"/>
</file>

<file path=customXml/itemProps2.xml><?xml version="1.0" encoding="utf-8"?>
<ds:datastoreItem xmlns:ds="http://schemas.openxmlformats.org/officeDocument/2006/customXml" ds:itemID="{A682348E-0ECA-4BF4-B567-9F601F0043CE}"/>
</file>

<file path=customXml/itemProps3.xml><?xml version="1.0" encoding="utf-8"?>
<ds:datastoreItem xmlns:ds="http://schemas.openxmlformats.org/officeDocument/2006/customXml" ds:itemID="{E5BCDD27-6F2E-4DCE-AF14-5FC3929DB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LibreOffice/6.3.4.2$MacOSX_X86_64 LibreOffice_project/60da17e045e08f1793c57c00ba83cdfce946d0aa</Application>
  <Pages>5</Pages>
  <Words>2600</Words>
  <Characters>16084</Characters>
  <CharactersWithSpaces>17979</CharactersWithSpaces>
  <Paragraphs>712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2020-05-31T09:17:00Z</dcterms:created>
  <dc:creator>Leïla HAVARD</dc:creator>
  <dc:description/>
  <dc:language>fr-FR</dc:language>
  <cp:lastModifiedBy>Leïla HAVARD</cp:lastModifiedBy>
  <cp:lastPrinted>2020-05-31T09:28:00Z</cp:lastPrinted>
  <dcterms:modified xsi:type="dcterms:W3CDTF">2020-05-31T09:44:00Z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0x01010002CE0C1A88590F4DBF8A5E9343C60C77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