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4BCE" w14:textId="77777777" w:rsidR="00CA1123" w:rsidRDefault="00CA1123" w:rsidP="007C4A46"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Auxil’herbe</w:t>
      </w:r>
    </w:p>
    <w:p w14:paraId="1AC4F37B" w14:textId="77777777" w:rsidR="00CA1123" w:rsidRDefault="00CA1123" w:rsidP="007C4A46"/>
    <w:p w14:paraId="10BD80C4" w14:textId="77777777" w:rsidR="00F0038F" w:rsidRDefault="00F0038F" w:rsidP="007C4A46">
      <w:bookmarkStart w:id="0" w:name="_GoBack"/>
      <w:r>
        <w:t xml:space="preserve">Les chambres d’agriculture éditent 4 guides de la flore spontanée propice aux auxiliaires de culture pour les filières de production « grandes cultures », « viticulture », « maraîchage » et « arboriculture ». </w:t>
      </w:r>
    </w:p>
    <w:p w14:paraId="510192D4" w14:textId="77777777" w:rsidR="00ED6D65" w:rsidRDefault="00ED6D65" w:rsidP="007C4A46"/>
    <w:p w14:paraId="446AAEA0" w14:textId="77777777" w:rsidR="00ED6D65" w:rsidRDefault="00F0038F" w:rsidP="007C4A46">
      <w:r>
        <w:t xml:space="preserve">Ce cahier des charges décrit l’intégration de ces guides dans une application web, nommée Auxil’herbe. </w:t>
      </w:r>
    </w:p>
    <w:bookmarkEnd w:id="0"/>
    <w:p w14:paraId="4BBA0146" w14:textId="77777777" w:rsidR="00F0038F" w:rsidRDefault="00F0038F" w:rsidP="007C4A46"/>
    <w:p w14:paraId="39CFA968" w14:textId="77777777" w:rsidR="00483B58" w:rsidRPr="00F83310" w:rsidRDefault="00F0038F" w:rsidP="00F83310">
      <w:pPr>
        <w:pStyle w:val="Paragraphedeliste"/>
        <w:numPr>
          <w:ilvl w:val="0"/>
          <w:numId w:val="5"/>
        </w:numPr>
        <w:rPr>
          <w:b/>
        </w:rPr>
      </w:pPr>
      <w:r w:rsidRPr="00F83310">
        <w:rPr>
          <w:b/>
        </w:rPr>
        <w:t>L</w:t>
      </w:r>
      <w:r w:rsidR="00483B58" w:rsidRPr="00F83310">
        <w:rPr>
          <w:b/>
        </w:rPr>
        <w:t>es fonctionnalités de l</w:t>
      </w:r>
      <w:r w:rsidRPr="00F83310">
        <w:rPr>
          <w:b/>
        </w:rPr>
        <w:t xml:space="preserve">’application </w:t>
      </w:r>
      <w:r w:rsidR="00AE06C6" w:rsidRPr="00F83310">
        <w:rPr>
          <w:b/>
        </w:rPr>
        <w:t>Auxil’herbe</w:t>
      </w:r>
    </w:p>
    <w:p w14:paraId="6EA2BF7D" w14:textId="56E1556F" w:rsidR="007F5CDC" w:rsidRDefault="00483B58" w:rsidP="00F0038F">
      <w:r>
        <w:t xml:space="preserve">L’application </w:t>
      </w:r>
      <w:r w:rsidR="00F0038F">
        <w:t xml:space="preserve">vise à établir une liste d’espèces de flore spontanée propice aux auxiliaires de culture et adaptée à sa production. </w:t>
      </w:r>
      <w:r w:rsidR="007F5CDC">
        <w:t>L’application est construite comme un simulateur en ligne. Il permet de répondre à la question « </w:t>
      </w:r>
      <w:r w:rsidR="006B1390">
        <w:t>quelle flore puis-je</w:t>
      </w:r>
      <w:r w:rsidR="00484861">
        <w:t xml:space="preserve"> favoriser dans mes bords de champs </w:t>
      </w:r>
      <w:r w:rsidR="007F5CDC" w:rsidRPr="00483B58">
        <w:t xml:space="preserve">si je veux </w:t>
      </w:r>
      <w:r w:rsidR="00484861">
        <w:t>qu’ils</w:t>
      </w:r>
      <w:r w:rsidR="007F5CDC" w:rsidRPr="00483B58">
        <w:t xml:space="preserve"> m’aident dans le contrôle des ravageurs?</w:t>
      </w:r>
      <w:r w:rsidR="007F5CDC">
        <w:t> ».</w:t>
      </w:r>
    </w:p>
    <w:p w14:paraId="74990DE7" w14:textId="77777777" w:rsidR="00F0038F" w:rsidRDefault="00F0038F" w:rsidP="00F0038F">
      <w:r>
        <w:t>C’est une application web en libre accès créée par les Chambres d’agriculture pour l’ensemble de la France Métropolitaine.</w:t>
      </w:r>
      <w:r w:rsidRPr="00F0038F">
        <w:t xml:space="preserve"> </w:t>
      </w:r>
      <w:r>
        <w:t>L’application est destinée aux agriculteurs, étudiants ou conseillers agricoles.</w:t>
      </w:r>
    </w:p>
    <w:p w14:paraId="2EB73B8C" w14:textId="77777777" w:rsidR="00F0038F" w:rsidRDefault="00F0038F" w:rsidP="00F0038F"/>
    <w:p w14:paraId="4674419A" w14:textId="77777777" w:rsidR="00F0038F" w:rsidRDefault="00F0038F" w:rsidP="00F0038F">
      <w:r w:rsidRPr="007F5CDC">
        <w:t>Une application, nommée Auxil’haie, est déjà accessible sur le web</w:t>
      </w:r>
      <w:r w:rsidR="00F83310">
        <w:t xml:space="preserve"> </w:t>
      </w:r>
      <w:hyperlink r:id="rId5" w:history="1">
        <w:r w:rsidR="00F83310" w:rsidRPr="009827DC">
          <w:rPr>
            <w:rStyle w:val="Lienhypertexte"/>
          </w:rPr>
          <w:t>https://chambres-agriculture.fr/recherche-innovation/agroecologie/agroforesterie/auxilhaie/</w:t>
        </w:r>
      </w:hyperlink>
      <w:r w:rsidRPr="007F5CDC">
        <w:t xml:space="preserve">. Elle permet d’établir une liste d’essences d’arbres pour des haies propices aux auxiliaires. Auxil’herbe est le pendant d’Auxil’haie </w:t>
      </w:r>
      <w:r w:rsidR="001E7234" w:rsidRPr="007F5CDC">
        <w:t>mais concerne la flore spontanée</w:t>
      </w:r>
      <w:r w:rsidR="00447134">
        <w:t xml:space="preserve"> des bords de champ</w:t>
      </w:r>
      <w:r w:rsidR="001E7234" w:rsidRPr="007F5CDC">
        <w:t>.</w:t>
      </w:r>
    </w:p>
    <w:p w14:paraId="75057F51" w14:textId="77777777" w:rsidR="007C4A46" w:rsidRDefault="007C4A46" w:rsidP="007C4A46"/>
    <w:p w14:paraId="6EF2467A" w14:textId="506CC1CC" w:rsidR="001E7234" w:rsidRDefault="001E7234" w:rsidP="007C4A46">
      <w:r>
        <w:t>Sur une page d’accueil commune à Auxil’haie et Auxil’herbe,</w:t>
      </w:r>
      <w:r w:rsidR="00447134">
        <w:t xml:space="preserve"> un texte introductif présente les outils et les fonctionnalités de chacun.</w:t>
      </w:r>
      <w:r>
        <w:t xml:space="preserve"> </w:t>
      </w:r>
      <w:r w:rsidR="00447134">
        <w:t>L</w:t>
      </w:r>
      <w:r>
        <w:t>’utilisateur choisit l’un des deux outils (Auxil’haie</w:t>
      </w:r>
      <w:r w:rsidRPr="001E7234">
        <w:t xml:space="preserve"> </w:t>
      </w:r>
      <w:r>
        <w:t>ou Auxil’herbe)</w:t>
      </w:r>
      <w:r w:rsidR="00447134">
        <w:t xml:space="preserve"> selon son besoin</w:t>
      </w:r>
      <w:r>
        <w:t>.</w:t>
      </w:r>
    </w:p>
    <w:p w14:paraId="5F86A07E" w14:textId="77777777" w:rsidR="009E1DFB" w:rsidRDefault="00F83310" w:rsidP="007C4A46">
      <w:r>
        <w:t xml:space="preserve">Pour </w:t>
      </w:r>
      <w:r w:rsidR="001E7234">
        <w:t>Auxil’herbe, l</w:t>
      </w:r>
      <w:r w:rsidR="007C4A46">
        <w:t xml:space="preserve">’utilisateur </w:t>
      </w:r>
      <w:r w:rsidR="009E1DFB">
        <w:t>sélectionne un type de culture, une localisation, un contexte. Une liste de flore spontanée adaptée à sa production et à son contexte s’affiche</w:t>
      </w:r>
      <w:r>
        <w:t>, agrémentée des photos de chaque flore</w:t>
      </w:r>
      <w:r w:rsidR="009E1DFB">
        <w:t xml:space="preserve">. En outre, il peut </w:t>
      </w:r>
      <w:r>
        <w:t xml:space="preserve">ensuite </w:t>
      </w:r>
      <w:r w:rsidR="009E1DFB">
        <w:t xml:space="preserve">sélectionner des filtres pour restreindre la liste aux espèces d’intérêt mellifères, à des périodes de floraison, ou encore aux plantes hôtes de pucerons. </w:t>
      </w:r>
    </w:p>
    <w:p w14:paraId="4AC7EA73" w14:textId="77777777" w:rsidR="009E1DFB" w:rsidRDefault="009E1DFB" w:rsidP="007C4A46">
      <w:r>
        <w:t xml:space="preserve">La liste obtenue peut être éditée puis imprimée. Elle est </w:t>
      </w:r>
      <w:r w:rsidR="001E7234">
        <w:t xml:space="preserve">alors </w:t>
      </w:r>
      <w:r>
        <w:t>complétée par des précautions et recommandations d’usage.</w:t>
      </w:r>
    </w:p>
    <w:p w14:paraId="727A0E19" w14:textId="5DF8502B" w:rsidR="001E7234" w:rsidRDefault="001E7234" w:rsidP="007C4A46">
      <w:r>
        <w:t xml:space="preserve">L’utilisateur est fortement encouragé à contacter un conseiller agricole de la chambre d’agriculture de son département pour être accompagné dans son projet </w:t>
      </w:r>
      <w:r w:rsidR="00484861">
        <w:t>d’aménagement des bords de champs</w:t>
      </w:r>
      <w:r>
        <w:t>.</w:t>
      </w:r>
    </w:p>
    <w:p w14:paraId="4F7BCA7E" w14:textId="3F0A3BDB" w:rsidR="00555463" w:rsidRDefault="00447134" w:rsidP="00555463">
      <w:r>
        <w:t>A la fin de la page « Résultat », l</w:t>
      </w:r>
      <w:r w:rsidR="00555463">
        <w:t xml:space="preserve">’utilisateur peut choisir d’obtenir en complément </w:t>
      </w:r>
      <w:r w:rsidR="00555463" w:rsidRPr="00555463">
        <w:t xml:space="preserve">une liste d’essences d’arbres </w:t>
      </w:r>
      <w:r w:rsidR="00555463">
        <w:t>d’intérêt pour sa  production, avec les mêmes critères de type de culture, localisation et contexte. Une liste d’essences obtenue par l’application Auxil’haie s’affiche.</w:t>
      </w:r>
    </w:p>
    <w:p w14:paraId="5B1435E3" w14:textId="77777777" w:rsidR="00AE06C6" w:rsidRDefault="00AE06C6" w:rsidP="00555463"/>
    <w:p w14:paraId="316437CE" w14:textId="77777777" w:rsidR="00AE06C6" w:rsidRPr="00F83310" w:rsidRDefault="00AE06C6" w:rsidP="00F83310">
      <w:pPr>
        <w:pStyle w:val="Paragraphedeliste"/>
        <w:numPr>
          <w:ilvl w:val="0"/>
          <w:numId w:val="5"/>
        </w:numPr>
        <w:rPr>
          <w:b/>
        </w:rPr>
      </w:pPr>
      <w:r w:rsidRPr="00F83310">
        <w:rPr>
          <w:b/>
        </w:rPr>
        <w:t>Les modifications à apporter à l’application Auxil’haie</w:t>
      </w:r>
    </w:p>
    <w:p w14:paraId="6CBDBAB7" w14:textId="77777777" w:rsidR="00AE06C6" w:rsidRDefault="00AE06C6" w:rsidP="00555463">
      <w:r>
        <w:t>Un lien est à faire entre les deux applications Auxil’herbe et Auxil’</w:t>
      </w:r>
      <w:r w:rsidR="007F5CDC">
        <w:t>haie :</w:t>
      </w:r>
    </w:p>
    <w:p w14:paraId="45B0F95D" w14:textId="21601373" w:rsidR="00AE06C6" w:rsidRDefault="00AE06C6" w:rsidP="00AE06C6">
      <w:pPr>
        <w:pStyle w:val="Paragraphedeliste"/>
        <w:numPr>
          <w:ilvl w:val="0"/>
          <w:numId w:val="1"/>
        </w:numPr>
      </w:pPr>
      <w:r>
        <w:t>Une page d’accueil commune entre les deux outils</w:t>
      </w:r>
      <w:r w:rsidR="007F5CDC">
        <w:t xml:space="preserve"> qui permet de choisir l’utilisation de l’un ou l’autre,</w:t>
      </w:r>
    </w:p>
    <w:p w14:paraId="315B3A6E" w14:textId="77777777" w:rsidR="00483B58" w:rsidRDefault="007F5CDC" w:rsidP="00555463">
      <w:pPr>
        <w:pStyle w:val="Paragraphedeliste"/>
        <w:numPr>
          <w:ilvl w:val="0"/>
          <w:numId w:val="1"/>
        </w:numPr>
      </w:pPr>
      <w:r>
        <w:t xml:space="preserve">A la fin de chaque simulation </w:t>
      </w:r>
      <w:r w:rsidR="00F83310">
        <w:t>issue</w:t>
      </w:r>
      <w:r>
        <w:t xml:space="preserve"> d’un </w:t>
      </w:r>
      <w:r w:rsidR="00F83310">
        <w:t xml:space="preserve">ou l’autre </w:t>
      </w:r>
      <w:r>
        <w:t xml:space="preserve">des deux outils, </w:t>
      </w:r>
      <w:r w:rsidR="00F83310">
        <w:t>il est possible</w:t>
      </w:r>
      <w:r w:rsidR="00AE06C6">
        <w:t xml:space="preserve"> d’accéder aux résultats </w:t>
      </w:r>
      <w:r>
        <w:t>de l’autre outil</w:t>
      </w:r>
      <w:r w:rsidR="00AE06C6">
        <w:t xml:space="preserve"> et vice versa.</w:t>
      </w:r>
      <w:r>
        <w:t xml:space="preserve"> Cette option doit être permise sans que l’utilisateur </w:t>
      </w:r>
      <w:r w:rsidR="00F83310">
        <w:t>doive</w:t>
      </w:r>
      <w:r>
        <w:t xml:space="preserve"> de nouveau </w:t>
      </w:r>
      <w:r w:rsidR="00F83310">
        <w:t xml:space="preserve">saisir </w:t>
      </w:r>
      <w:r>
        <w:t>ses données de type de culture, localisation et contexte.</w:t>
      </w:r>
    </w:p>
    <w:p w14:paraId="13DD590B" w14:textId="77777777" w:rsidR="00776B15" w:rsidRDefault="00776B15" w:rsidP="00555463"/>
    <w:p w14:paraId="2DADAEA0" w14:textId="6F0A7E04" w:rsidR="00776B15" w:rsidRDefault="00776B15" w:rsidP="00555463">
      <w:r>
        <w:t>Quelques modifications de vocabulaire sont à faire dans Auxil’haie afin d’être harmonis</w:t>
      </w:r>
      <w:r w:rsidR="0079506D">
        <w:t>é</w:t>
      </w:r>
      <w:r>
        <w:t xml:space="preserve"> avec Auxil’herbe. Il s’agit du nom de certains auxiliaires.</w:t>
      </w:r>
    </w:p>
    <w:p w14:paraId="7B10E95E" w14:textId="77777777" w:rsidR="00776B15" w:rsidRDefault="00776B15" w:rsidP="00555463"/>
    <w:p w14:paraId="52D5B2A9" w14:textId="28FFA52F" w:rsidR="00B27207" w:rsidRPr="00483B58" w:rsidRDefault="00483B58" w:rsidP="00484861">
      <w:pPr>
        <w:pStyle w:val="Paragraphedeliste"/>
        <w:numPr>
          <w:ilvl w:val="0"/>
          <w:numId w:val="5"/>
        </w:numPr>
        <w:tabs>
          <w:tab w:val="num" w:pos="1440"/>
        </w:tabs>
      </w:pPr>
      <w:r>
        <w:lastRenderedPageBreak/>
        <w:t xml:space="preserve">Les chambres d’agriculture souhaite obtenir un </w:t>
      </w:r>
      <w:r w:rsidR="00776B15" w:rsidRPr="00484861">
        <w:rPr>
          <w:b/>
        </w:rPr>
        <w:t>suivi</w:t>
      </w:r>
      <w:r>
        <w:t xml:space="preserve"> de l’utilisation </w:t>
      </w:r>
      <w:r w:rsidR="00AE06C6">
        <w:t xml:space="preserve">des </w:t>
      </w:r>
      <w:r>
        <w:t>outil</w:t>
      </w:r>
      <w:r w:rsidR="00AE06C6">
        <w:t>s</w:t>
      </w:r>
      <w:r>
        <w:t xml:space="preserve"> Auxil’herbe </w:t>
      </w:r>
      <w:r w:rsidR="00AE06C6">
        <w:t xml:space="preserve">et Auxil’haie </w:t>
      </w:r>
      <w:r>
        <w:t>afin d’</w:t>
      </w:r>
      <w:r w:rsidR="00776B15" w:rsidRPr="00483B58">
        <w:t>évaluer l’efficacité de la démarche et de l’outil</w:t>
      </w:r>
      <w:r>
        <w:t>. Les indicateurs suivants sont attendus :</w:t>
      </w:r>
    </w:p>
    <w:p w14:paraId="6B33CC71" w14:textId="77777777" w:rsidR="00B27207" w:rsidRPr="00483B58" w:rsidRDefault="00776B15" w:rsidP="00483B58">
      <w:pPr>
        <w:numPr>
          <w:ilvl w:val="1"/>
          <w:numId w:val="4"/>
        </w:numPr>
      </w:pPr>
      <w:r w:rsidRPr="00483B58">
        <w:t>nombre et le type de simulations</w:t>
      </w:r>
    </w:p>
    <w:p w14:paraId="3D36FD18" w14:textId="77777777" w:rsidR="00B27207" w:rsidRDefault="00776B15" w:rsidP="00483B58">
      <w:pPr>
        <w:numPr>
          <w:ilvl w:val="1"/>
          <w:numId w:val="4"/>
        </w:numPr>
      </w:pPr>
      <w:r w:rsidRPr="00483B58">
        <w:t xml:space="preserve">nombre </w:t>
      </w:r>
      <w:r w:rsidR="00483B58">
        <w:t>de contacts pris via l’application</w:t>
      </w:r>
    </w:p>
    <w:p w14:paraId="239277E6" w14:textId="77777777" w:rsidR="00484861" w:rsidRDefault="00484861" w:rsidP="00484861">
      <w:pPr>
        <w:ind w:left="1440"/>
      </w:pPr>
    </w:p>
    <w:p w14:paraId="019846E2" w14:textId="17151343" w:rsidR="0079506D" w:rsidRDefault="00484861" w:rsidP="00484861">
      <w:pPr>
        <w:pStyle w:val="Paragraphedeliste"/>
        <w:numPr>
          <w:ilvl w:val="0"/>
          <w:numId w:val="5"/>
        </w:numPr>
      </w:pPr>
      <w:r>
        <w:t>La</w:t>
      </w:r>
      <w:r w:rsidR="0079506D">
        <w:t xml:space="preserve"> </w:t>
      </w:r>
      <w:r w:rsidR="0079506D" w:rsidRPr="00484861">
        <w:rPr>
          <w:b/>
        </w:rPr>
        <w:t>maintenance de l’outil</w:t>
      </w:r>
      <w:r>
        <w:t xml:space="preserve"> est à prévoir</w:t>
      </w:r>
    </w:p>
    <w:p w14:paraId="2DDD90F5" w14:textId="77777777" w:rsidR="00484861" w:rsidRPr="00483B58" w:rsidRDefault="00484861" w:rsidP="00484861">
      <w:pPr>
        <w:pStyle w:val="Paragraphedeliste"/>
      </w:pPr>
    </w:p>
    <w:p w14:paraId="49E3F251" w14:textId="77777777" w:rsidR="008206D5" w:rsidRDefault="008206D5" w:rsidP="00555463"/>
    <w:p w14:paraId="48D3D954" w14:textId="77777777" w:rsidR="008206D5" w:rsidRDefault="008206D5" w:rsidP="00F83310">
      <w:pPr>
        <w:pStyle w:val="Paragraphedeliste"/>
        <w:numPr>
          <w:ilvl w:val="0"/>
          <w:numId w:val="5"/>
        </w:numPr>
      </w:pPr>
      <w:r w:rsidRPr="00F83310">
        <w:rPr>
          <w:b/>
        </w:rPr>
        <w:t>La charte graphique</w:t>
      </w:r>
      <w:r>
        <w:t xml:space="preserve"> d’Auxil’herbe est la même que celle d’Auxil’haie. Les mises en forme sont exactement identiques permettant une harmonie</w:t>
      </w:r>
      <w:r w:rsidRPr="008206D5">
        <w:t xml:space="preserve"> </w:t>
      </w:r>
      <w:r>
        <w:t>entre les deux applications.</w:t>
      </w:r>
    </w:p>
    <w:p w14:paraId="024550E6" w14:textId="77777777" w:rsidR="00483B58" w:rsidRDefault="00483B58" w:rsidP="00555463"/>
    <w:p w14:paraId="383D31D1" w14:textId="77777777" w:rsidR="008206D5" w:rsidRDefault="008206D5" w:rsidP="00F83310">
      <w:pPr>
        <w:pStyle w:val="Paragraphedeliste"/>
        <w:numPr>
          <w:ilvl w:val="0"/>
          <w:numId w:val="5"/>
        </w:numPr>
      </w:pPr>
      <w:r w:rsidRPr="00F83310">
        <w:rPr>
          <w:b/>
        </w:rPr>
        <w:t xml:space="preserve">Les </w:t>
      </w:r>
      <w:r w:rsidR="00CA1123">
        <w:rPr>
          <w:b/>
        </w:rPr>
        <w:t>documents de référence</w:t>
      </w:r>
      <w:r>
        <w:t xml:space="preserve"> sont :</w:t>
      </w:r>
    </w:p>
    <w:p w14:paraId="1EACE37D" w14:textId="77777777" w:rsidR="008206D5" w:rsidRDefault="008206D5" w:rsidP="008206D5">
      <w:pPr>
        <w:pStyle w:val="Paragraphedeliste"/>
        <w:numPr>
          <w:ilvl w:val="0"/>
          <w:numId w:val="1"/>
        </w:numPr>
      </w:pPr>
      <w:r>
        <w:t xml:space="preserve">Les 4 guides de la </w:t>
      </w:r>
      <w:r w:rsidR="00483B58">
        <w:t>flore spontanée propice aux auxiliaires de culture pour les filières de production « grandes cultures », « viticulture », « maraîchage » et « arboriculture » en format pdf et InDesign.</w:t>
      </w:r>
    </w:p>
    <w:p w14:paraId="69A0049B" w14:textId="77777777" w:rsidR="00483B58" w:rsidRDefault="00483B58" w:rsidP="008206D5">
      <w:pPr>
        <w:pStyle w:val="Paragraphedeliste"/>
        <w:numPr>
          <w:ilvl w:val="0"/>
          <w:numId w:val="1"/>
        </w:numPr>
      </w:pPr>
      <w:r>
        <w:t>Les photos de chaque espèce floristique de la base de données</w:t>
      </w:r>
    </w:p>
    <w:p w14:paraId="3ADD921D" w14:textId="77777777" w:rsidR="00555463" w:rsidRDefault="00483B58" w:rsidP="007A54A6">
      <w:pPr>
        <w:pStyle w:val="Paragraphedeliste"/>
        <w:numPr>
          <w:ilvl w:val="0"/>
          <w:numId w:val="1"/>
        </w:numPr>
      </w:pPr>
      <w:r>
        <w:t xml:space="preserve">La localisation géographique de chaque espèce floristique </w:t>
      </w:r>
    </w:p>
    <w:p w14:paraId="613B3A46" w14:textId="77777777" w:rsidR="00483B58" w:rsidRDefault="00483B58" w:rsidP="007A54A6">
      <w:pPr>
        <w:pStyle w:val="Paragraphedeliste"/>
        <w:numPr>
          <w:ilvl w:val="0"/>
          <w:numId w:val="1"/>
        </w:numPr>
      </w:pPr>
      <w:r>
        <w:t>La liste des contacts des conseillers des chambres d’agriculture par département</w:t>
      </w:r>
    </w:p>
    <w:p w14:paraId="3837842B" w14:textId="77777777" w:rsidR="008048BA" w:rsidRDefault="008048BA" w:rsidP="007A54A6">
      <w:pPr>
        <w:pStyle w:val="Paragraphedeliste"/>
        <w:numPr>
          <w:ilvl w:val="0"/>
          <w:numId w:val="1"/>
        </w:numPr>
      </w:pPr>
      <w:r>
        <w:t>Un modèle de fiche pour l’impression</w:t>
      </w:r>
      <w:r w:rsidR="00CA1123">
        <w:t xml:space="preserve"> des résultats des simulations</w:t>
      </w:r>
    </w:p>
    <w:p w14:paraId="44D63F4F" w14:textId="77777777" w:rsidR="00483B58" w:rsidRDefault="00483B58" w:rsidP="000E54C4">
      <w:pPr>
        <w:pStyle w:val="Paragraphedeliste"/>
        <w:numPr>
          <w:ilvl w:val="0"/>
          <w:numId w:val="1"/>
        </w:numPr>
      </w:pPr>
      <w:r>
        <w:t xml:space="preserve">L’application Auxil’haie </w:t>
      </w:r>
      <w:hyperlink r:id="rId6" w:history="1">
        <w:r w:rsidR="008048BA" w:rsidRPr="009827DC">
          <w:rPr>
            <w:rStyle w:val="Lienhypertexte"/>
          </w:rPr>
          <w:t>https://chambres-agriculture.fr/recherche-innovation/agroecologie/agroforesterie/auxilhaie/</w:t>
        </w:r>
      </w:hyperlink>
    </w:p>
    <w:sectPr w:rsidR="0048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7A41"/>
    <w:multiLevelType w:val="hybridMultilevel"/>
    <w:tmpl w:val="67E402A8"/>
    <w:lvl w:ilvl="0" w:tplc="C5B68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79D8"/>
    <w:multiLevelType w:val="hybridMultilevel"/>
    <w:tmpl w:val="39B09EA2"/>
    <w:lvl w:ilvl="0" w:tplc="4FBE9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0313"/>
    <w:multiLevelType w:val="hybridMultilevel"/>
    <w:tmpl w:val="3C588A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50E0"/>
    <w:multiLevelType w:val="hybridMultilevel"/>
    <w:tmpl w:val="BB564400"/>
    <w:lvl w:ilvl="0" w:tplc="1DF0D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C8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23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EB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4C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C7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09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40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CF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730F13"/>
    <w:multiLevelType w:val="hybridMultilevel"/>
    <w:tmpl w:val="06F68A8A"/>
    <w:lvl w:ilvl="0" w:tplc="7B3E7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2F652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4F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A8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6A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8B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27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25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0E6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6"/>
    <w:rsid w:val="000643BD"/>
    <w:rsid w:val="00071C9F"/>
    <w:rsid w:val="000C52B9"/>
    <w:rsid w:val="001E7234"/>
    <w:rsid w:val="00447134"/>
    <w:rsid w:val="00483B58"/>
    <w:rsid w:val="00484861"/>
    <w:rsid w:val="0052388E"/>
    <w:rsid w:val="005265E7"/>
    <w:rsid w:val="00555463"/>
    <w:rsid w:val="00603F91"/>
    <w:rsid w:val="006077DE"/>
    <w:rsid w:val="006B1390"/>
    <w:rsid w:val="006F7E27"/>
    <w:rsid w:val="00776B15"/>
    <w:rsid w:val="00777592"/>
    <w:rsid w:val="0079506D"/>
    <w:rsid w:val="007C4A46"/>
    <w:rsid w:val="007F5CDC"/>
    <w:rsid w:val="008048BA"/>
    <w:rsid w:val="008206D5"/>
    <w:rsid w:val="00875558"/>
    <w:rsid w:val="00996CFE"/>
    <w:rsid w:val="009E1DFB"/>
    <w:rsid w:val="00A32B6F"/>
    <w:rsid w:val="00A33F89"/>
    <w:rsid w:val="00AE06C6"/>
    <w:rsid w:val="00B27207"/>
    <w:rsid w:val="00C7067E"/>
    <w:rsid w:val="00CA1123"/>
    <w:rsid w:val="00E577E5"/>
    <w:rsid w:val="00EC2716"/>
    <w:rsid w:val="00ED6D65"/>
    <w:rsid w:val="00F0038F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4E94C"/>
  <w15:docId w15:val="{8D25530C-2F3F-4963-B215-B784C31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4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D6D65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67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D6D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D6D6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ED6D65"/>
    <w:rPr>
      <w:b/>
      <w:bCs/>
    </w:rPr>
  </w:style>
  <w:style w:type="character" w:styleId="Lienhypertexte">
    <w:name w:val="Hyperlink"/>
    <w:basedOn w:val="Policepardfaut"/>
    <w:uiPriority w:val="99"/>
    <w:unhideWhenUsed/>
    <w:rsid w:val="008048B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77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7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77E5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7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7E5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7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7E5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A33F89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1061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3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7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329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342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59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08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mbres-agriculture.fr/recherche-innovation/agroecologie/agroforesterie/auxilhaie/" TargetMode="External"/><Relationship Id="rId5" Type="http://schemas.openxmlformats.org/officeDocument/2006/relationships/hyperlink" Target="https://chambres-agriculture.fr/recherche-innovation/agroecologie/agroforesterie/auxilha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 BRETAGNE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GUIET Sylvie</dc:creator>
  <cp:lastModifiedBy>GUIET Sylvie</cp:lastModifiedBy>
  <cp:revision>4</cp:revision>
  <dcterms:created xsi:type="dcterms:W3CDTF">2020-08-31T13:12:00Z</dcterms:created>
  <dcterms:modified xsi:type="dcterms:W3CDTF">2020-08-31T14:30:00Z</dcterms:modified>
</cp:coreProperties>
</file>